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1.1  ·  SECTION 1: ISO 20000 FOUNDATIONS</w:t>
      </w:r>
    </w:p>
    <w:p>
      <w:pPr>
        <w:spacing w:after="120"/>
      </w:pPr>
      <w:r>
        <w:rPr>
          <w:rFonts w:ascii="Arial" w:cs="Arial" w:eastAsia="Arial" w:hAnsi="Arial"/>
          <w:b/>
          <w:bCs/>
          <w:caps w:val="false"/>
          <w:color w:val="1B3A5C"/>
          <w:sz w:val="44"/>
          <w:szCs w:val="44"/>
        </w:rPr>
        <w:t xml:space="preserve">What Is ISO 20000 and Why It Matters</w:t>
      </w:r>
    </w:p>
    <w:p>
      <w:pPr>
        <w:spacing w:after="60"/>
      </w:pPr>
      <w:r>
        <w:rPr>
          <w:rFonts w:ascii="Georgia" w:cs="Georgia" w:eastAsia="Georgia" w:hAnsi="Georgia"/>
          <w:b w:val="false"/>
          <w:bCs w:val="false"/>
          <w:color w:val="4B5563"/>
          <w:sz w:val="24"/>
          <w:szCs w:val="24"/>
        </w:rPr>
        <w:t xml:space="preserve">A practitioner’s orientation to ISO/IEC 20000-1:2018 — its origins, relationship to ITIL, the 2018 High Level Structure alignment, and the commercial case for certification in the Indonesian technology market.</w:t>
      </w:r>
    </w:p>
    <w:p>
      <w:pPr>
        <w:spacing w:after="40"/>
      </w:pPr>
      <w:r>
        <w:rPr>
          <w:rFonts w:ascii="Arial" w:cs="Arial" w:eastAsia="Arial" w:hAnsi="Arial"/>
          <w:b w:val="false"/>
          <w:bCs w:val="false"/>
          <w:caps w:val="false"/>
          <w:color w:val="9CA3AF"/>
          <w:sz w:val="18"/>
          <w:szCs w:val="18"/>
        </w:rPr>
        <w:t xml:space="preserve">Bitlion GRC Documentation  ·  Updated April 2026  ·  Reading time: ~14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Introduction: The International Standard for IT Service Management</w:t>
      </w:r>
    </w:p>
    <w:p>
      <w:pPr>
        <w:spacing w:after="160" w:line="320"/>
        <w:jc w:val="both"/>
      </w:pPr>
      <w:r>
        <w:rPr>
          <w:rFonts w:ascii="Georgia" w:cs="Georgia" w:eastAsia="Georgia" w:hAnsi="Georgia"/>
          <w:b w:val="false"/>
          <w:bCs w:val="false"/>
          <w:color w:val="111827"/>
          <w:sz w:val="22"/>
          <w:szCs w:val="22"/>
        </w:rPr>
        <w:t xml:space="preserve">In an era where technology services underpin virtually every business function, the question of how to manage IT services reliably, consistently, and at a measurable level of quality has become a strategic imperative. ISO/IEC 20000-1:2018 — commonly referred to simply as ISO 20000 — is the international standard that answers this question. It specifies requirements for an organization to establish, implement, maintain, and continually improve a Service Management System (SMS): the set of interrelated or interacting elements of an organization to plan, design, transition, deliver, and improve services to meet requirements.</w:t>
      </w:r>
    </w:p>
    <w:p>
      <w:pPr>
        <w:spacing w:after="160" w:line="320"/>
        <w:jc w:val="both"/>
      </w:pPr>
      <w:r>
        <w:rPr>
          <w:rFonts w:ascii="Georgia" w:cs="Georgia" w:eastAsia="Georgia" w:hAnsi="Georgia"/>
          <w:b w:val="false"/>
          <w:bCs w:val="false"/>
          <w:color w:val="111827"/>
          <w:sz w:val="22"/>
          <w:szCs w:val="22"/>
        </w:rPr>
        <w:t xml:space="preserve">Unlike framework-based approaches that offer guidance and best practice, ISO 20000 is a requirements standard. It defines what an organization’s SMS must do — not merely what it might do — and it is auditable by an independent certification body. When an organization achieves ISO 20000 certification, a qualified third-party auditor has verified that its service management practices genuinely meet the standard’s requirements. That distinction — between guidance and certified requirement — is fundamental to understanding why ISO 20000 matters.</w:t>
      </w:r>
    </w:p>
    <w:p>
      <w:pPr>
        <w:spacing w:after="160" w:line="320"/>
        <w:jc w:val="both"/>
      </w:pPr>
      <w:r>
        <w:rPr>
          <w:rFonts w:ascii="Georgia" w:cs="Georgia" w:eastAsia="Georgia" w:hAnsi="Georgia"/>
          <w:b w:val="false"/>
          <w:bCs w:val="false"/>
          <w:color w:val="111827"/>
          <w:sz w:val="22"/>
          <w:szCs w:val="22"/>
        </w:rPr>
        <w:t xml:space="preserve">This article provides a practitioner’s orientation to ISO 20000: where it comes from, what the 2018 revision changed, how it relates to frameworks such as ITIL, who needs it in the Indonesian context, and what the business case for certification looks like. Articles 1.2 through 1.8 then build the foundational knowledge needed before diving into the clause-by-clause requirements covered in Section 2.</w:t>
      </w:r>
    </w:p>
    <w:p>
      <w:pPr>
        <w:pBdr>
          <w:bottom w:val="single" w:color="2563A8" w:sz="4" w:space="4"/>
        </w:pBdr>
        <w:spacing w:after="160" w:before="400"/>
      </w:pPr>
      <w:r>
        <w:rPr>
          <w:rFonts w:ascii="Arial" w:cs="Arial" w:eastAsia="Arial" w:hAnsi="Arial"/>
          <w:b/>
          <w:bCs/>
          <w:caps w:val="false"/>
          <w:color w:val="1B3A5C"/>
          <w:sz w:val="28"/>
          <w:szCs w:val="28"/>
        </w:rPr>
        <w:t xml:space="preserve">Origins and Evolution: From BS 15000 to ISO/IEC 20000-1:2018</w:t>
      </w:r>
    </w:p>
    <w:p>
      <w:pPr>
        <w:spacing w:after="160" w:line="320"/>
        <w:jc w:val="both"/>
      </w:pPr>
      <w:r>
        <w:rPr>
          <w:rFonts w:ascii="Georgia" w:cs="Georgia" w:eastAsia="Georgia" w:hAnsi="Georgia"/>
          <w:b w:val="false"/>
          <w:bCs w:val="false"/>
          <w:color w:val="111827"/>
          <w:sz w:val="22"/>
          <w:szCs w:val="22"/>
        </w:rPr>
        <w:t xml:space="preserve">The standard’s lineage begins in the United Kingdom with BS 15000, a British Standard published by the British Standards Institution in 2000, itself developed from the IT Infrastructure Library (ITIL) service management framework that the UK government had been refining since the late 1980s. BS 15000 provided the first formal, auditable specification for IT service management, and it quickly gained traction among IT outsourcers and managed service providers who needed a way to demonstrate service quality to clients.</w:t>
      </w:r>
    </w:p>
    <w:p>
      <w:pPr>
        <w:spacing w:after="160" w:line="320"/>
        <w:jc w:val="both"/>
      </w:pPr>
      <w:r>
        <w:rPr>
          <w:rFonts w:ascii="Georgia" w:cs="Georgia" w:eastAsia="Georgia" w:hAnsi="Georgia"/>
          <w:b w:val="false"/>
          <w:bCs w:val="false"/>
          <w:color w:val="111827"/>
          <w:sz w:val="22"/>
          <w:szCs w:val="22"/>
        </w:rPr>
        <w:t xml:space="preserve">In 2005, ISO adopted and internationalized BS 15000 as ISO/IEC 20000-1:2005, the first international standard specifically for IT service management. A significant revision followed in 2011, adding clarity to several requirements and introducing a multi-part structure. The most recent and currently applicable version — ISO/IEC 20000-1:2018 — represents a wholesale restructuring of the standard to align it with the Annex SL High Level Structure (HLS), also called the common framework, that ISO now requires all new and revised management system standards to follow.</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The Annex SL High Level Structure gives ISO 20000:2018 the same 10-clause skeleton as ISO 27001:2022, ISO 22301:2019, and ISO 9001:2015. Clauses 4–10 are structurally identical across all these standards, which makes integration significantly more efficient for organizations already certified to one of them.</w:t>
            </w:r>
          </w:p>
        </w:tc>
      </w:tr>
    </w:tbl>
    <w:p>
      <w:pPr>
        <w:spacing w:after="160" w:line="320"/>
        <w:jc w:val="both"/>
      </w:pPr>
      <w:r>
        <w:rPr>
          <w:rFonts w:ascii="Georgia" w:cs="Georgia" w:eastAsia="Georgia" w:hAnsi="Georgia"/>
          <w:b w:val="false"/>
          <w:bCs w:val="false"/>
          <w:color w:val="111827"/>
          <w:sz w:val="22"/>
          <w:szCs w:val="22"/>
        </w:rPr>
        <w:t xml:space="preserve">The 2018 revision also expanded the standard’s scope beyond IT services narrowly defined. It is now applicable to any organization that manages services — including digital services, cloud services, and managed services of all types — and it can be applied by organizations providing services to internal customers (such as a corporate IT department) as well as external customers (such as a managed service provider or cloud hosting company).</w:t>
      </w:r>
    </w:p>
    <w:p>
      <w:pPr>
        <w:pBdr>
          <w:bottom w:val="single" w:color="2563A8" w:sz="4" w:space="4"/>
        </w:pBdr>
        <w:spacing w:after="160" w:before="400"/>
      </w:pPr>
      <w:r>
        <w:rPr>
          <w:rFonts w:ascii="Arial" w:cs="Arial" w:eastAsia="Arial" w:hAnsi="Arial"/>
          <w:b/>
          <w:bCs/>
          <w:caps w:val="false"/>
          <w:color w:val="1B3A5C"/>
          <w:sz w:val="28"/>
          <w:szCs w:val="28"/>
        </w:rPr>
        <w:t xml:space="preserve">What the Standard Actually Requires: SMS at a Glance</w:t>
      </w:r>
    </w:p>
    <w:p>
      <w:pPr>
        <w:spacing w:after="160" w:line="320"/>
        <w:jc w:val="both"/>
      </w:pPr>
      <w:r>
        <w:rPr>
          <w:rFonts w:ascii="Georgia" w:cs="Georgia" w:eastAsia="Georgia" w:hAnsi="Georgia"/>
          <w:b w:val="false"/>
          <w:bCs w:val="false"/>
          <w:color w:val="111827"/>
          <w:sz w:val="22"/>
          <w:szCs w:val="22"/>
        </w:rPr>
        <w:t xml:space="preserve">ISO 20000-1:2018 is divided into ten clauses. Clauses 1–3 cover scope, normative references, and terms and definitions. Clauses 4–10 contain the auditable requirements that form the Service Management System:</w:t>
      </w:r>
    </w:p>
    <w:p>
      <w:pPr>
        <w:spacing w:after="160" w:line="320"/>
        <w:jc w:val="both"/>
      </w:pPr>
      <w:r>
        <w:rPr>
          <w:rFonts w:ascii="Georgia" w:cs="Georgia" w:eastAsia="Georgia" w:hAnsi="Georgia"/>
          <w:b w:val="false"/>
          <w:bCs w:val="false"/>
          <w:color w:val="111827"/>
          <w:sz w:val="22"/>
          <w:szCs w:val="22"/>
        </w:rPr>
        <w:t xml:space="preserve">Clause 4 (Context of the Organization) requires the organization to understand its internal and external context, identify interested parties and their requirements, and define the scope of the SMS. Clause 5 (Leadership) requires top management to demonstrate commitment to the SMS, establish a service management policy, and assign roles and responsibilities. Clause 6 (Planning) requires identification of risks and opportunities, setting of service management objectives, and production of a service management plan. Clause 7 (Support) covers resource provision, competence, awareness, communication, and documented information. Clause 8 (Operation) is the largest clause and contains both the operational control requirements and all the specific service management practice requirements — including service portfolio management, relationship management, incident management, problem management, change management, configuration management, and availability and continuity management, among others. Clause 9 (Performance Evaluation) requires monitoring, measurement, internal audit, and management review. Clause 10 (Improvement) requires handling of nonconformities and continual improvement.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60"/>
        <w:gridCol w:w="2600"/>
        <w:gridCol w:w="5200"/>
      </w:tblGrid>
      <w:tr>
        <w:trPr>
          <w:tblHeader/>
        </w:trPr>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Clause</w:t>
            </w:r>
          </w:p>
        </w:tc>
        <w:tc>
          <w:tcPr>
            <w:tcW w:type="dxa" w:w="260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Title</w:t>
            </w:r>
          </w:p>
        </w:tc>
        <w:tc>
          <w:tcPr>
            <w:tcW w:type="dxa" w:w="520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Core Requirement</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4</w:t>
            </w:r>
          </w:p>
        </w:tc>
        <w:tc>
          <w:tcPr>
            <w:tcW w:type="dxa" w:w="2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Context</w:t>
            </w:r>
          </w:p>
        </w:tc>
        <w:tc>
          <w:tcPr>
            <w:tcW w:type="dxa" w:w="5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Scope definition, stakeholder needs, legal/regulatory requirements</w:t>
            </w:r>
          </w:p>
        </w:tc>
      </w:tr>
      <w:tr>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5</w:t>
            </w:r>
          </w:p>
        </w:tc>
        <w:tc>
          <w:tcPr>
            <w:tcW w:type="dxa" w:w="26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Leadership</w:t>
            </w:r>
          </w:p>
        </w:tc>
        <w:tc>
          <w:tcPr>
            <w:tcW w:type="dxa" w:w="52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Top management commitment, service management policy, roles</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6</w:t>
            </w:r>
          </w:p>
        </w:tc>
        <w:tc>
          <w:tcPr>
            <w:tcW w:type="dxa" w:w="2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Planning</w:t>
            </w:r>
          </w:p>
        </w:tc>
        <w:tc>
          <w:tcPr>
            <w:tcW w:type="dxa" w:w="5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Risk and opportunity management, SMS objectives, service management plan</w:t>
            </w:r>
          </w:p>
        </w:tc>
      </w:tr>
      <w:tr>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7</w:t>
            </w:r>
          </w:p>
        </w:tc>
        <w:tc>
          <w:tcPr>
            <w:tcW w:type="dxa" w:w="26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Support</w:t>
            </w:r>
          </w:p>
        </w:tc>
        <w:tc>
          <w:tcPr>
            <w:tcW w:type="dxa" w:w="52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Resources, competence, awareness, communication, documented information</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8</w:t>
            </w:r>
          </w:p>
        </w:tc>
        <w:tc>
          <w:tcPr>
            <w:tcW w:type="dxa" w:w="2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Operation</w:t>
            </w:r>
          </w:p>
        </w:tc>
        <w:tc>
          <w:tcPr>
            <w:tcW w:type="dxa" w:w="5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 delivery practices, relationship, incident, change, configuration management</w:t>
            </w:r>
          </w:p>
        </w:tc>
      </w:tr>
      <w:tr>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9</w:t>
            </w:r>
          </w:p>
        </w:tc>
        <w:tc>
          <w:tcPr>
            <w:tcW w:type="dxa" w:w="26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Performance Evaluation</w:t>
            </w:r>
          </w:p>
        </w:tc>
        <w:tc>
          <w:tcPr>
            <w:tcW w:type="dxa" w:w="52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Monitoring, internal audit, management review</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10</w:t>
            </w:r>
          </w:p>
        </w:tc>
        <w:tc>
          <w:tcPr>
            <w:tcW w:type="dxa" w:w="2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Improvement</w:t>
            </w:r>
          </w:p>
        </w:tc>
        <w:tc>
          <w:tcPr>
            <w:tcW w:type="dxa" w:w="5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Nonconformity handling, continual improvement</w:t>
            </w:r>
          </w:p>
        </w:tc>
      </w:tr>
    </w:tbl>
    <w:p>
      <w:pPr>
        <w:spacing w:after="8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ISO 20000 and ITIL: Complementary, Not Competing</w:t>
      </w:r>
    </w:p>
    <w:p>
      <w:pPr>
        <w:spacing w:after="160" w:line="320"/>
        <w:jc w:val="both"/>
      </w:pPr>
      <w:r>
        <w:rPr>
          <w:rFonts w:ascii="Georgia" w:cs="Georgia" w:eastAsia="Georgia" w:hAnsi="Georgia"/>
          <w:b w:val="false"/>
          <w:bCs w:val="false"/>
          <w:color w:val="111827"/>
          <w:sz w:val="22"/>
          <w:szCs w:val="22"/>
        </w:rPr>
        <w:t xml:space="preserve">One of the most common questions from practitioners new to ISO 20000 is how it relates to ITIL — the IT Infrastructure Library that has been the dominant IT service management framework globally for decades. The relationship is complementary rather than competitive, but the distinction in their nature is important.</w:t>
      </w:r>
    </w:p>
    <w:p>
      <w:pPr>
        <w:spacing w:after="160" w:line="320"/>
        <w:jc w:val="both"/>
      </w:pPr>
      <w:r>
        <w:rPr>
          <w:rFonts w:ascii="Georgia" w:cs="Georgia" w:eastAsia="Georgia" w:hAnsi="Georgia"/>
          <w:b w:val="false"/>
          <w:bCs w:val="false"/>
          <w:color w:val="111827"/>
          <w:sz w:val="22"/>
          <w:szCs w:val="22"/>
        </w:rPr>
        <w:t xml:space="preserve">ITIL (now at version 4) is a framework: it provides guidance, practices, and recommended approaches for managing IT services effectively. It is rich in detail and offers concrete practices for incident management, change enablement, service desk operation, and much more. However, ITIL certification — whether at practitioner or organizational level — is not an independently audited third-party verification that an organization actually operates in accordance with ITIL. An organization can be deeply ITIL-literate and implement ITIL practices extensively without having a formal SMS that meets all of ISO 20000’s requirements.</w:t>
      </w:r>
    </w:p>
    <w:p>
      <w:pPr>
        <w:spacing w:after="160" w:line="320"/>
        <w:jc w:val="both"/>
      </w:pPr>
      <w:r>
        <w:rPr>
          <w:rFonts w:ascii="Georgia" w:cs="Georgia" w:eastAsia="Georgia" w:hAnsi="Georgia"/>
          <w:b w:val="false"/>
          <w:bCs w:val="false"/>
          <w:color w:val="111827"/>
          <w:sz w:val="22"/>
          <w:szCs w:val="22"/>
        </w:rPr>
        <w:t xml:space="preserve">ISO 20000, by contrast, specifies requirements. An organization seeking ISO 20000 certification must have an SMS that demonstrably meets those requirements — evidenced through documented information, records, and operational practice — and that has been independently verified by an accredited certification body. Many organizations use ITIL practices as the operational content of their SMS: the incident management process they implement to satisfy ISO 20000’s incident management requirements may be ITIL-aligned, for example. In this sense, ITIL provides the ‘how’ and ISO 20000 provides the ‘what must be demonstrated.’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ISO 20000 does not require ITIL adoption. An organization can achieve ISO 20000 certification using any service management methodology — COBIT, proprietary process frameworks, or entirely home-grown procedures — as long as the SMS meets the standard’s requirements. ITIL is the most common vehicle, but it is not mandated.</w:t>
            </w:r>
          </w:p>
        </w:tc>
      </w:tr>
    </w:tbl>
    <w:p>
      <w:pPr>
        <w:pBdr>
          <w:bottom w:val="single" w:color="2563A8" w:sz="4" w:space="4"/>
        </w:pBdr>
        <w:spacing w:after="160" w:before="400"/>
      </w:pPr>
      <w:r>
        <w:rPr>
          <w:rFonts w:ascii="Arial" w:cs="Arial" w:eastAsia="Arial" w:hAnsi="Arial"/>
          <w:b/>
          <w:bCs/>
          <w:caps w:val="false"/>
          <w:color w:val="1B3A5C"/>
          <w:sz w:val="28"/>
          <w:szCs w:val="28"/>
        </w:rPr>
        <w:t xml:space="preserve">The 2018 High Level Structure Alignment: Why It Matters for Integration</w:t>
      </w:r>
    </w:p>
    <w:p>
      <w:pPr>
        <w:spacing w:after="160" w:line="320"/>
        <w:jc w:val="both"/>
      </w:pPr>
      <w:r>
        <w:rPr>
          <w:rFonts w:ascii="Georgia" w:cs="Georgia" w:eastAsia="Georgia" w:hAnsi="Georgia"/>
          <w:b w:val="false"/>
          <w:bCs w:val="false"/>
          <w:color w:val="111827"/>
          <w:sz w:val="22"/>
          <w:szCs w:val="22"/>
        </w:rPr>
        <w:t xml:space="preserve">The most strategically significant change in the 2018 revision — from an organizational and compliance efficiency perspective — is the alignment to the Annex SL High Level Structure. This shared framework was developed by ISO to make it easier for organizations to implement and audit multiple management systems simultaneously.</w:t>
      </w:r>
    </w:p>
    <w:p>
      <w:pPr>
        <w:spacing w:after="160" w:line="320"/>
        <w:jc w:val="both"/>
      </w:pPr>
      <w:r>
        <w:rPr>
          <w:rFonts w:ascii="Georgia" w:cs="Georgia" w:eastAsia="Georgia" w:hAnsi="Georgia"/>
          <w:b w:val="false"/>
          <w:bCs w:val="false"/>
          <w:color w:val="111827"/>
          <w:sz w:val="22"/>
          <w:szCs w:val="22"/>
        </w:rPr>
        <w:t xml:space="preserve">For an organization that has already implemented ISO 27001 for information security, the clause structure of ISO 20000:2018 will be immediately familiar. Both standards have identical Clause 4 (Context), Clause 5 (Leadership), Clause 6 (Planning), Clause 7 (Support), Clause 9 (Performance Evaluation), and Clause 10 (Improvement) structures. The documented information requirements, management review requirements, internal audit requirements, and nonconformity management requirements use the same language and serve the same function across both standards. This means that an organization with a mature ISO 27001 SMS can extend its existing management system infrastructure — policies, procedures, audit program, management review process, document control — to cover ISO 20000 without building everything from scratch.</w:t>
      </w:r>
    </w:p>
    <w:p>
      <w:pPr>
        <w:spacing w:after="160" w:line="320"/>
        <w:jc w:val="both"/>
      </w:pPr>
      <w:r>
        <w:rPr>
          <w:rFonts w:ascii="Georgia" w:cs="Georgia" w:eastAsia="Georgia" w:hAnsi="Georgia"/>
          <w:b w:val="false"/>
          <w:bCs w:val="false"/>
          <w:color w:val="111827"/>
          <w:sz w:val="22"/>
          <w:szCs w:val="22"/>
        </w:rPr>
        <w:t xml:space="preserve">Article 3.8 in this Knowledge Hub explores the integrated management system approach in depth. For now, the key point is that ISO 20000:2018’s HLS alignment is not merely a structural curiosity — it is a genuine efficiency enabler for organizations pursuing multiple certifications, which describes most serious Indonesian IT service organizations.</w:t>
      </w:r>
    </w:p>
    <w:p>
      <w:pPr>
        <w:pBdr>
          <w:bottom w:val="single" w:color="2563A8" w:sz="4" w:space="4"/>
        </w:pBdr>
        <w:spacing w:after="160" w:before="400"/>
      </w:pPr>
      <w:r>
        <w:rPr>
          <w:rFonts w:ascii="Arial" w:cs="Arial" w:eastAsia="Arial" w:hAnsi="Arial"/>
          <w:b/>
          <w:bCs/>
          <w:caps w:val="false"/>
          <w:color w:val="1B3A5C"/>
          <w:sz w:val="28"/>
          <w:szCs w:val="28"/>
        </w:rPr>
        <w:t xml:space="preserve">Who Needs ISO 20000: The Indonesian Context</w:t>
      </w:r>
    </w:p>
    <w:p>
      <w:pPr>
        <w:spacing w:after="160" w:line="320"/>
        <w:jc w:val="both"/>
      </w:pPr>
      <w:r>
        <w:rPr>
          <w:rFonts w:ascii="Georgia" w:cs="Georgia" w:eastAsia="Georgia" w:hAnsi="Georgia"/>
          <w:b w:val="false"/>
          <w:bCs w:val="false"/>
          <w:color w:val="111827"/>
          <w:sz w:val="22"/>
          <w:szCs w:val="22"/>
        </w:rPr>
        <w:t xml:space="preserve">ISO 20000 certification is relevant across a wide range of organization types in Indonesia, driven by a combination of regulatory requirements, enterprise client demands, and competitive positioning in the managed services and technology outsourcing market.</w:t>
      </w:r>
    </w:p>
    <w:p>
      <w:pPr>
        <w:spacing w:after="160" w:line="320"/>
        <w:jc w:val="both"/>
      </w:pPr>
      <w:r>
        <w:rPr>
          <w:rFonts w:ascii="Georgia" w:cs="Georgia" w:eastAsia="Georgia" w:hAnsi="Georgia"/>
          <w:b w:val="false"/>
          <w:bCs w:val="false"/>
          <w:color w:val="111827"/>
          <w:sz w:val="22"/>
          <w:szCs w:val="22"/>
        </w:rPr>
        <w:t xml:space="preserve">Financial services organizations and their IT suppliers face the most direct regulatory pressure. OJK (Otoritas Jasa Keuangan) has issued a series of regulations — most recently POJK 11/2022 on information technology risk management for financial services institutions — that impose IT service management requirements on banks, insurance companies, capital market firms, and their IT service providers. These requirements address IT service continuity, incident management, change management, and supplier management in terms that align closely with ISO 20000. While OJK does not explicitly mandate ISO 20000 certification, demonstrating a certified SMS is an increasingly effective way for IT service providers to evidence compliance with OJK’s IT governance expectations.</w:t>
      </w:r>
    </w:p>
    <w:p>
      <w:pPr>
        <w:spacing w:after="160" w:line="320"/>
        <w:jc w:val="both"/>
      </w:pPr>
      <w:r>
        <w:rPr>
          <w:rFonts w:ascii="Georgia" w:cs="Georgia" w:eastAsia="Georgia" w:hAnsi="Georgia"/>
          <w:b w:val="false"/>
          <w:bCs w:val="false"/>
          <w:color w:val="111827"/>
          <w:sz w:val="22"/>
          <w:szCs w:val="22"/>
        </w:rPr>
        <w:t xml:space="preserve">Government technology suppliers face similar dynamics. The SPBE (Sistem Pemerintahan Berbasis Elektronik) framework for electronic government services, and BSSN’s IT security requirements, create IT service management obligations for organizations supplying technology services to government agencies. Following the PDNS (Pusat Data Nasional) incident of 2024, government procurement of IT services has become more rigorous in evaluating supplier service management capability — and ISO 20000 certification provides a recognized, independently verified evidence base.</w:t>
      </w:r>
    </w:p>
    <w:p>
      <w:pPr>
        <w:spacing w:after="160" w:line="320"/>
        <w:jc w:val="both"/>
      </w:pPr>
      <w:r>
        <w:rPr>
          <w:rFonts w:ascii="Georgia" w:cs="Georgia" w:eastAsia="Georgia" w:hAnsi="Georgia"/>
          <w:b w:val="false"/>
          <w:bCs w:val="false"/>
          <w:color w:val="111827"/>
          <w:sz w:val="22"/>
          <w:szCs w:val="22"/>
        </w:rPr>
        <w:t xml:space="preserve">Managed Service Providers (MSPs) face the clearest commercial driver. In the Indonesian enterprise technology market, sophisticated buyers increasingly require their MSP suppliers to demonstrate formal service management capability. ISO 20000 certification is recognized internationally and provides a credible, third-party validated signal of service management maturity that self-assessment and ITIL training alone cannot replicate.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3280"/>
        <w:gridCol w:w="3280"/>
      </w:tblGrid>
      <w:tr>
        <w:trPr>
          <w:tblHeader/>
        </w:trPr>
        <w:tc>
          <w:tcPr>
            <w:tcW w:type="dxa" w:w="280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Organization Type</w:t>
            </w:r>
          </w:p>
        </w:tc>
        <w:tc>
          <w:tcPr>
            <w:tcW w:type="dxa" w:w="328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Primary Driver</w:t>
            </w:r>
          </w:p>
        </w:tc>
        <w:tc>
          <w:tcPr>
            <w:tcW w:type="dxa" w:w="328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Key Regulatory Reference</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Financial institution IT suppliers</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OJK IT governance compliance</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POJK 11/2022</w:t>
            </w:r>
          </w:p>
        </w:tc>
      </w:tr>
      <w:tr>
        <w:tc>
          <w:tcPr>
            <w:tcW w:type="dxa" w:w="28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Government IT service providers</w:t>
            </w:r>
          </w:p>
        </w:tc>
        <w:tc>
          <w:tcPr>
            <w:tcW w:type="dxa" w:w="32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SPBE &amp; procurement eligibility</w:t>
            </w:r>
          </w:p>
        </w:tc>
        <w:tc>
          <w:tcPr>
            <w:tcW w:type="dxa" w:w="32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BSSN, Perpres 95/2018</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Managed Service Providers (MSPs)</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Enterprise client requirements</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Market-driven</w:t>
            </w:r>
          </w:p>
        </w:tc>
      </w:tr>
      <w:tr>
        <w:tc>
          <w:tcPr>
            <w:tcW w:type="dxa" w:w="28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Cloud service providers</w:t>
            </w:r>
          </w:p>
        </w:tc>
        <w:tc>
          <w:tcPr>
            <w:tcW w:type="dxa" w:w="32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Financial sector client demands</w:t>
            </w:r>
          </w:p>
        </w:tc>
        <w:tc>
          <w:tcPr>
            <w:tcW w:type="dxa" w:w="32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OJK cloud guidance</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Corporate IT departments</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Internal governance &amp; audit</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Board / group policy</w:t>
            </w:r>
          </w:p>
        </w:tc>
      </w:tr>
    </w:tbl>
    <w:p>
      <w:pPr>
        <w:spacing w:after="8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The Commercial Case for ISO 20000 Certification</w:t>
      </w:r>
    </w:p>
    <w:p>
      <w:pPr>
        <w:spacing w:after="160" w:line="320"/>
        <w:jc w:val="both"/>
      </w:pPr>
      <w:r>
        <w:rPr>
          <w:rFonts w:ascii="Georgia" w:cs="Georgia" w:eastAsia="Georgia" w:hAnsi="Georgia"/>
          <w:b w:val="false"/>
          <w:bCs w:val="false"/>
          <w:color w:val="111827"/>
          <w:sz w:val="22"/>
          <w:szCs w:val="22"/>
        </w:rPr>
        <w:t xml:space="preserve">Beyond regulatory compliance, ISO 20000 certification creates tangible commercial value for Indonesian IT service organizations. The certification signals — to enterprise clients, to potential public sector buyers, and to international partners — that the organization’s service management practices have been independently verified to meet an internationally recognized standard. In competitive procurement situations, ISO 20000 certification can be the differentiating factor that moves an organization from the long list to the short list.</w:t>
      </w:r>
    </w:p>
    <w:p>
      <w:pPr>
        <w:spacing w:after="160" w:line="320"/>
        <w:jc w:val="both"/>
      </w:pPr>
      <w:r>
        <w:rPr>
          <w:rFonts w:ascii="Georgia" w:cs="Georgia" w:eastAsia="Georgia" w:hAnsi="Georgia"/>
          <w:b w:val="false"/>
          <w:bCs w:val="false"/>
          <w:color w:val="111827"/>
          <w:sz w:val="22"/>
          <w:szCs w:val="22"/>
        </w:rPr>
        <w:t xml:space="preserve">The discipline that ISO 20000 implementation requires also tends to improve operational performance measurably. Organizations that implement a genuine SMS — with defined service levels, documented incident management, structured change control, and formal configuration management — typically see reductions in incident volume, faster resolution times, fewer change-related outages, and more consistent service delivery. These operational improvements translate directly into client satisfaction, reduced penalty exposure under SLA agreements, and lower operational cost.</w:t>
      </w:r>
    </w:p>
    <w:p>
      <w:pPr>
        <w:spacing w:after="160" w:line="320"/>
        <w:jc w:val="both"/>
      </w:pPr>
      <w:r>
        <w:rPr>
          <w:rFonts w:ascii="Georgia" w:cs="Georgia" w:eastAsia="Georgia" w:hAnsi="Georgia"/>
          <w:b w:val="false"/>
          <w:bCs w:val="false"/>
          <w:color w:val="111827"/>
          <w:sz w:val="22"/>
          <w:szCs w:val="22"/>
        </w:rPr>
        <w:t xml:space="preserve">There is also a talent dimension. ISO 20000 implementation creates demand for structured service management competence across the organization, and the certification process — with its internal audits, management reviews, and continual improvement cycles — builds a discipline of measurement and accountability that is professionally valuable for the service management team. For organizations seeking to attract experienced service management professionals, the existence of a certified SMS is itself a recruitment signal.</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GRC Platform supports ISO 20000 implementation with pre-built SMS policy templates, service management plan frameworks, clause-by-clause control mappings, incident and change management evidence libraries, and integrated audit management. Organizations using Bitlion typically reduce their ISO 20000 implementation timeline by 30–40% compared to building SMS documentation from scratch.</w:t>
            </w:r>
          </w:p>
        </w:tc>
      </w:tr>
    </w:tbl>
    <w:p>
      <w:pPr>
        <w:pBdr>
          <w:bottom w:val="single" w:color="2563A8" w:sz="4" w:space="4"/>
        </w:pBdr>
        <w:spacing w:after="160" w:before="400"/>
      </w:pPr>
      <w:r>
        <w:rPr>
          <w:rFonts w:ascii="Arial" w:cs="Arial" w:eastAsia="Arial" w:hAnsi="Arial"/>
          <w:b/>
          <w:bCs/>
          <w:caps w:val="false"/>
          <w:color w:val="1B3A5C"/>
          <w:sz w:val="28"/>
          <w:szCs w:val="28"/>
        </w:rPr>
        <w:t xml:space="preserve">How This Knowledge Hub Is Organized</w:t>
      </w:r>
    </w:p>
    <w:p>
      <w:pPr>
        <w:spacing w:after="160" w:line="320"/>
        <w:jc w:val="both"/>
      </w:pPr>
      <w:r>
        <w:rPr>
          <w:rFonts w:ascii="Georgia" w:cs="Georgia" w:eastAsia="Georgia" w:hAnsi="Georgia"/>
          <w:b w:val="false"/>
          <w:bCs w:val="false"/>
          <w:color w:val="111827"/>
          <w:sz w:val="22"/>
          <w:szCs w:val="22"/>
        </w:rPr>
        <w:t xml:space="preserve">This Knowledge Hub is structured as a practitioner’s guide through every aspect of ISO 20000 — from foundational concepts through implementation, certification, operations, and Indonesian-specific application. Section 1 (Articles 1.1–1.6) covers the foundations: standard structure, key definitions, the ITIL relationship, the PDCA lifecycle, and who needs certification. Section 2 (Articles 2.1–2.8) provides clause-by-clause deep dives into the SMS requirements. Section 3 (Articles 3.1–3.8) covers the implementation journey. Section 4 (Articles 4.1–4.7) guides you through the certification process. Section 5 (Articles 5.1–5.7) covers SMS operations and service management practice details. Section 6 (Articles 6.1–6.7) addresses the Indonesian regulatory and market context.</w:t>
      </w:r>
    </w:p>
    <w:p>
      <w:pPr>
        <w:spacing w:after="160" w:line="320"/>
        <w:jc w:val="both"/>
      </w:pPr>
      <w:r>
        <w:rPr>
          <w:rFonts w:ascii="Georgia" w:cs="Georgia" w:eastAsia="Georgia" w:hAnsi="Georgia"/>
          <w:b w:val="false"/>
          <w:bCs w:val="false"/>
          <w:color w:val="111827"/>
          <w:sz w:val="22"/>
          <w:szCs w:val="22"/>
        </w:rPr>
        <w:t xml:space="preserve">Each article is designed to be standalone — you can read them in sequence for a comprehensive SMS education, or jump directly to the article that addresses your current challenge. Cross-references throughout the Hub connect related topics across sections. Whether you are beginning an ISO 20000 implementation journey, preparing for a certification audit, or seeking to improve an existing SMS, this Knowledge Hub provides the practitioner-level guidance you need.</w:t>
      </w:r>
    </w:p>
    <w:p>
      <w:pPr>
        <w:spacing w:after="80"/>
      </w:pPr>
      <w:r>
        <w:t xml:space="preserve"/>
      </w:r>
    </w:p>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2026-04-05T07:28:12.020Z</dcterms:created>
  <dcterms:modified xsi:type="dcterms:W3CDTF">2026-04-05T07:28:12.020Z</dcterms:modified>
</cp:coreProperties>
</file>

<file path=docProps/custom.xml><?xml version="1.0" encoding="utf-8"?>
<Properties xmlns="http://schemas.openxmlformats.org/officeDocument/2006/custom-properties" xmlns:vt="http://schemas.openxmlformats.org/officeDocument/2006/docPropsVTypes"/>
</file>